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Layout w:type="fixed"/>
        <w:tblLook w:val="0400"/>
      </w:tblPr>
      <w:tblGrid>
        <w:gridCol w:w="2453"/>
        <w:gridCol w:w="5565"/>
        <w:tblGridChange w:id="0">
          <w:tblGrid>
            <w:gridCol w:w="2453"/>
            <w:gridCol w:w="5565"/>
          </w:tblGrid>
        </w:tblGridChange>
      </w:tblGrid>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i7ojhp"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1"/>
      <w:bookmarkEnd w:id="21"/>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between the Parties.</w:t>
      </w:r>
    </w:p>
    <w:p w:rsidR="00000000" w:rsidDel="00000000" w:rsidP="00000000" w:rsidRDefault="00000000" w:rsidRPr="00000000" w14:paraId="0000005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whwml4" w:id="23"/>
      <w:bookmarkEnd w:id="23"/>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Paragraph 3.</w:t>
      </w:r>
      <w:r w:rsidDel="00000000" w:rsidR="00000000" w:rsidRPr="00000000">
        <w:rPr>
          <w:sz w:val="24"/>
          <w:szCs w:val="24"/>
          <w:rtl w:val="0"/>
        </w:rPr>
        <w:t xml:space="preserve">4</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sz w:val="24"/>
          <w:szCs w:val="24"/>
          <w:shd w:fill="auto" w:val="clear"/>
          <w:vertAlign w:val="baseline"/>
        </w:rPr>
      </w:pPr>
      <w:bookmarkStart w:colFirst="0" w:colLast="0" w:name="_heading=h.1pxezwc" w:id="26"/>
      <w:bookmarkEnd w:id="26"/>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In the event that the Supplier becomes aware of any inconsistency in the provisions of the standards, guidance and policies set out in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Paragraph 3.</w:t>
      </w:r>
      <w:r w:rsidDel="00000000" w:rsidR="00000000" w:rsidRPr="00000000">
        <w:rPr>
          <w:sz w:val="24"/>
          <w:szCs w:val="24"/>
          <w:rtl w:val="0"/>
        </w:rPr>
        <w:t xml:space="preserve">4</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7"/>
      <w:bookmarkEnd w:id="27"/>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If the bespoke ISMS submitted to the Buyer pursuant to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Paragraph 3.3.1</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Paragraph 3.</w:t>
      </w:r>
      <w:r w:rsidDel="00000000" w:rsidR="00000000" w:rsidRPr="00000000">
        <w:rPr>
          <w:sz w:val="24"/>
          <w:szCs w:val="24"/>
          <w:rtl w:val="0"/>
        </w:rPr>
        <w:t xml:space="preserve">7</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of any change to the ISMS shall not relieve the Supplier of its obligations under this Schedule.</w:t>
      </w:r>
    </w:p>
    <w:p w:rsidR="00000000" w:rsidDel="00000000" w:rsidP="00000000" w:rsidRDefault="00000000" w:rsidRPr="00000000" w14:paraId="0000007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required in accordance with paragraph 3.4.3 d, any changes to the Security Policy;</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8">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Buyer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a different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maximum period after a case-by-case consultation with the Supplier under the processes defined in the ISMS.</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19c6y18" w:id="42"/>
      <w:bookmarkEnd w:id="42"/>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1: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https://www.ncsc.gov.uk/guidance/end-user-device-security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change in location of data storage, processing and administration with the Buyer in accordance with Clause 14 (Data protection).</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1">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8h4qwu" w:id="43"/>
      <w:bookmarkEnd w:id="4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2" w:type="default"/>
      <w:footerReference r:id="rId13" w:type="default"/>
      <w:footerReference r:id="rId14"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QP7wgDDlnd6bzMkYHkJbtlMz5A==">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2022-09-28T10:57:00Z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